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5459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КОМУНАЛЬНИЙ ЗАКЛАД НАВЧАЛЬНО-ВИХОВНИЙ КОМПЛЕКС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2871787</wp:posOffset>
            </wp:positionH>
            <wp:positionV relativeFrom="paragraph">
              <wp:posOffset>0</wp:posOffset>
            </wp:positionV>
            <wp:extent cx="494665" cy="685800"/>
            <wp:effectExtent b="0" l="0" r="0" t="0"/>
            <wp:wrapTopAndBottom distB="0" distT="0"/>
            <wp:docPr descr="TRIZUB" id="6" name="image1.png"/>
            <a:graphic>
              <a:graphicData uri="http://schemas.openxmlformats.org/drawingml/2006/picture">
                <pic:pic>
                  <pic:nvPicPr>
                    <pic:cNvPr descr="TRIZUB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«МИШКОВИЦЬКА ЗАГАЛЬНООСВІТНЯ ШКОЛА</w:t>
      </w:r>
    </w:p>
    <w:p w:rsidR="00000000" w:rsidDel="00000000" w:rsidP="00000000" w:rsidRDefault="00000000" w:rsidRPr="00000000" w14:paraId="00000003">
      <w:pPr>
        <w:pStyle w:val="Subtitle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І - ІІІ СТУПЕНІВ – ДОШКІЛЬНИЙ НАВЧАЛЬНИЙ ЗАКЛАД»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ВЕЛИКОБЕРЕЗОВИЦЬКОЇ СЕЛИЩНОЇ РАДИ ТЕРНОПІЛЬСЬКОЇ ОБЛАСТІ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241300</wp:posOffset>
                </wp:positionV>
                <wp:extent cx="5486400" cy="57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2800" y="3780000"/>
                          <a:ext cx="5486400" cy="0"/>
                        </a:xfrm>
                        <a:custGeom>
                          <a:rect b="b" l="l" r="r" t="t"/>
                          <a:pathLst>
                            <a:path extrusionOk="0" h="1"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241300</wp:posOffset>
                </wp:positionV>
                <wp:extent cx="5486400" cy="571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вул. Шкільна, 29,  с. Мишковичі, Тернопільський район, Тернопільська область,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47732, тел.(0352) 29-07- 44, 29-09-21, код ЄДПРО 21163321, e-mail:My_skoola@ukr.net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50800</wp:posOffset>
                </wp:positionV>
                <wp:extent cx="5486400" cy="57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780000"/>
                          <a:ext cx="5486400" cy="0"/>
                        </a:xfrm>
                        <a:custGeom>
                          <a:rect b="b" l="l" r="r" t="t"/>
                          <a:pathLst>
                            <a:path extrusionOk="0" h="1"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50800</wp:posOffset>
                </wp:positionV>
                <wp:extent cx="5486400" cy="571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15" w:line="268" w:lineRule="auto"/>
        <w:ind w:left="0" w:right="43" w:firstLine="26"/>
        <w:jc w:val="center"/>
        <w:rPr/>
      </w:pPr>
      <w:r w:rsidDel="00000000" w:rsidR="00000000" w:rsidRPr="00000000">
        <w:rPr>
          <w:rtl w:val="0"/>
        </w:rPr>
        <w:t xml:space="preserve">Висновок</w:t>
      </w:r>
    </w:p>
    <w:p w:rsidR="00000000" w:rsidDel="00000000" w:rsidP="00000000" w:rsidRDefault="00000000" w:rsidRPr="00000000" w14:paraId="00000009">
      <w:pPr>
        <w:spacing w:after="15" w:line="268" w:lineRule="auto"/>
        <w:ind w:left="0" w:right="43" w:firstLine="26"/>
        <w:jc w:val="center"/>
        <w:rPr/>
      </w:pPr>
      <w:r w:rsidDel="00000000" w:rsidR="00000000" w:rsidRPr="00000000">
        <w:rPr>
          <w:rtl w:val="0"/>
        </w:rPr>
        <w:t xml:space="preserve">про результати  самооцінювання освітніх і управлінських процесів  </w:t>
      </w:r>
    </w:p>
    <w:p w:rsidR="00000000" w:rsidDel="00000000" w:rsidP="00000000" w:rsidRDefault="00000000" w:rsidRPr="00000000" w14:paraId="0000000A">
      <w:pPr>
        <w:spacing w:after="15" w:line="268" w:lineRule="auto"/>
        <w:ind w:left="0" w:right="43" w:firstLine="26"/>
        <w:jc w:val="center"/>
        <w:rPr/>
      </w:pPr>
      <w:r w:rsidDel="00000000" w:rsidR="00000000" w:rsidRPr="00000000">
        <w:rPr>
          <w:rtl w:val="0"/>
        </w:rPr>
        <w:t xml:space="preserve">за 2020/2021 навчальний рік</w:t>
      </w:r>
    </w:p>
    <w:tbl>
      <w:tblPr>
        <w:tblStyle w:val="Table1"/>
        <w:tblW w:w="10067.0" w:type="dxa"/>
        <w:jc w:val="left"/>
        <w:tblInd w:w="0.0" w:type="dxa"/>
        <w:tblLayout w:type="fixed"/>
        <w:tblLook w:val="0400"/>
      </w:tblPr>
      <w:tblGrid>
        <w:gridCol w:w="567"/>
        <w:gridCol w:w="1703"/>
        <w:gridCol w:w="561"/>
        <w:gridCol w:w="468"/>
        <w:gridCol w:w="530"/>
        <w:gridCol w:w="562"/>
        <w:gridCol w:w="5676"/>
        <w:tblGridChange w:id="0">
          <w:tblGrid>
            <w:gridCol w:w="567"/>
            <w:gridCol w:w="1703"/>
            <w:gridCol w:w="561"/>
            <w:gridCol w:w="468"/>
            <w:gridCol w:w="530"/>
            <w:gridCol w:w="562"/>
            <w:gridCol w:w="5676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pacing w:after="38" w:line="259" w:lineRule="auto"/>
              <w:ind w:left="6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з/п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0" w:right="65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Напрям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Рівень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spacing w:after="50" w:line="238" w:lineRule="auto"/>
              <w:ind w:left="480" w:firstLine="632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Досягнення в освітній діяльності й управлінських процесах та проблеми, що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ind w:left="0" w:right="6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потребують вирішення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36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16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ІІІ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6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34" w:firstLine="0"/>
              <w:jc w:val="left"/>
              <w:rPr/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Освітнє середовище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4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4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0" w:line="280" w:lineRule="auto"/>
              <w:ind w:left="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Під час спостереження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за освітнім середовищем з’ясовано: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42" w:line="245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цілому в школі створено безпечні умови навчання та праці (це підтверджено відповідями респондентів, зокрема 45,8% і 54,2% педпрацівників задоволені або переважно задоволені освітнім середовищем та умовами праці у школі; 44,6% і 45,8% учнів стверджують, що вони у безпеці та здебільшого у безпеці);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40" w:line="246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приміщення чисті, охайні та недоступні для сторонніх осіб (54% батьків здобувачів освіти задоволені облаштуванням території, чистотою навчальних кабінетів, їдальні, туалетних кімнат; 44% опитаних учнів задоволені чистотою приміщень);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5" w:line="276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приміщені школи дотримуються температурного режиму;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3" w:line="278.00000000000006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учнів початкових класів облаштовано ігровий майданчик;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34" w:line="246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приміщення їдальні, столи, лавки, місця для видачі готових страв чисті, їх регулярно миють; організація харчування у школі сприяє формуванню культури здорового харчування в учнів, усі опитані батьки здобувачів освіти та педагоги в основному задоволені якістю </w:t>
            </w:r>
          </w:p>
          <w:p w:rsidR="00000000" w:rsidDel="00000000" w:rsidP="00000000" w:rsidRDefault="00000000" w:rsidRPr="00000000" w14:paraId="00000027">
            <w:pPr>
              <w:spacing w:after="26" w:line="259" w:lineRule="auto"/>
              <w:ind w:left="4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харчування;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3" w:line="278.00000000000006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наявні всі необхідні для реалізації освітньої програми навчальні кабінети та приміщення;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3" w:line="278.00000000000006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кабінетах підвищеного ризику оприлюднено правила поведінки під час навчальних занять, проте вони потребують оновлення;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5" w:line="258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реалізації освітнього процесу достатньо навчально-методичного та технічного забезпечення (81,4% навчальних кабінетів обладнані засобами навчання відповідно до вимог законодавства та освітньої програми);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="259" w:lineRule="auto"/>
              <w:ind w:left="463" w:right="56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всіх 1-11 класах кількість учнів не перевищує </w:t>
            </w:r>
          </w:p>
          <w:p w:rsidR="00000000" w:rsidDel="00000000" w:rsidP="00000000" w:rsidRDefault="00000000" w:rsidRPr="00000000" w14:paraId="0000002C">
            <w:pPr>
              <w:spacing w:after="0" w:line="259" w:lineRule="auto"/>
              <w:ind w:left="463" w:right="5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гранично допустиму наповнюваність.</w:t>
            </w:r>
          </w:p>
          <w:p w:rsidR="00000000" w:rsidDel="00000000" w:rsidP="00000000" w:rsidRDefault="00000000" w:rsidRPr="00000000" w14:paraId="0000002D">
            <w:pPr>
              <w:spacing w:line="267" w:lineRule="auto"/>
              <w:ind w:left="37" w:right="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За наслідками вивчення документації, результатів опитування учасників освітнього процесу та фактів, встановлених під час спостереження за освітнім середовищем було виявлено, що: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15" w:line="268" w:lineRule="auto"/>
              <w:ind w:left="463" w:right="-7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учнями та працівниками закладу відповідальні особи проводять інструктажі щодо алгоритму дій у разі виникнення надзвичайних ситуацій;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15" w:line="268" w:lineRule="auto"/>
              <w:ind w:left="463" w:right="-7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школі реалізовують заходи із запобігання проявам дискримінації. Педагоги ознайомлені з нормативно-правовими документами щодо виявлення ознак булінгу, іншого насильства та запобігання йому;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63" w:right="243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педагогічні працівники, адміністрація школи здійснюють заходи щодо запобігання порушення правил поведінки. Інформація про загальні правила поведінки, План заходів із запобігання та протидії булінгу оприлюднені на сайті школи. Для 1-2 класів правила поведінки розроблені спільно з учнями та розміщені на рівні зорового доступу дітей у класних приміщеннях. Проте в коридорах бракує інформаційних стендів, що висвітлюють Правила поведінки для учнів, інформацію щодо булінгу;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15" w:line="268" w:lineRule="auto"/>
              <w:ind w:left="463" w:right="243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школі проводять роботу щодо адаптації та інтеграції учнів до освітнього процесу (63% батьків вважають, що в дітей ніколи не виникали проблеми з адаптацією в школі). Психолог школи щорічно здійснює діагностування учнів 1, 5 класів на предмет адаптації до освітнього процесу. Питання адаптації розглядали на засіданнях педагогічної ради (протокол № 2, 4 від 08.10.2020 та 27.02.2020). Однак питання адаптації педагогічних працівників жодного разу не розглядали на засіданнях педрад, хоча впродовж 2019-2020 н.р. було прийнято на роботу 5 педагогів; 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15" w:line="268" w:lineRule="auto"/>
              <w:ind w:left="463" w:right="243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аналіз відповідей батьків учнів дає підстави стверджувати, що діти охоче йдуть до школи;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15" w:line="268" w:lineRule="auto"/>
              <w:ind w:left="463" w:right="243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розклад занять в основному задовольняє здобувачів освіти;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15" w:line="268" w:lineRule="auto"/>
              <w:ind w:left="463" w:right="-7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переважна більшість учнів відвідує шкільну бібліотеку для отримання необхідних підручників (43,5%), у той же час 52,3% учнів взагалі не відвідують бібліотеку. </w:t>
            </w:r>
          </w:p>
          <w:p w:rsidR="00000000" w:rsidDel="00000000" w:rsidP="00000000" w:rsidRDefault="00000000" w:rsidRPr="00000000" w14:paraId="00000035">
            <w:pPr>
              <w:spacing w:after="18" w:line="282" w:lineRule="auto"/>
              <w:ind w:left="0" w:right="10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       Водночас є потреба в удосконаленні освітнього середовища: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26" w:line="258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проведенні ремонтних робіт у кабінеті трудового навчання, учительській, коридорі, харчоблоці їдальні школи;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4" w:line="276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переобладнання та модернізація шкільного харчоблоку їдальні;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2" w:line="276.99999999999994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облаштування місць для відпочинку педагогічних працівників;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2" w:line="278.00000000000006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створення персональних робочих місць та персональних шафок для педагогічних працівників в учительській;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19" w:line="264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урізноманітнення асортименту страв примірного двотижневого меню за рецептурним збірником Є.Клопотенка та покращення якості готової продукції;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17" w:line="258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встановлення на комп'ютерах у кабінетах інформатики програм-фільтрів, що унеможливлюють доступ до сайтів небажаного </w:t>
            </w:r>
          </w:p>
          <w:p w:rsidR="00000000" w:rsidDel="00000000" w:rsidP="00000000" w:rsidRDefault="00000000" w:rsidRPr="00000000" w14:paraId="0000003C">
            <w:pPr>
              <w:spacing w:after="24" w:line="259" w:lineRule="auto"/>
              <w:ind w:left="463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змісту;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2" w:line="279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оприлюднення правил поведінки для учнів, що таке академічна доброчесність, стоп булінг тощо у віршованих та ілюстрованих формах;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81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створення у бібліотеці нового освітнього простору в стилі open space. </w:t>
            </w:r>
          </w:p>
          <w:p w:rsidR="00000000" w:rsidDel="00000000" w:rsidP="00000000" w:rsidRDefault="00000000" w:rsidRPr="00000000" w14:paraId="0000003F">
            <w:pPr>
              <w:spacing w:after="0" w:line="281" w:lineRule="auto"/>
              <w:ind w:left="463" w:right="5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Рівні оцінювання за вимогами: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3" w:line="278.00000000000006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забезпечення комфортних і безпечних умов навчання та праці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достатній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3" w:line="278.00000000000006" w:lineRule="auto"/>
              <w:ind w:left="463" w:right="58" w:hanging="36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створення освітнього середовища, вільного від будь-яких форм насилля та дискримінації –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достатній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63" w:right="5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інклюзивного, розвивального та мотивуючого до навчання освітнього простору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потребує покращення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0" w:right="2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36" w:firstLine="28.000000000000004"/>
              <w:jc w:val="left"/>
              <w:rPr/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Система оцінювання здобувачів освіти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54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59" w:lineRule="auto"/>
              <w:ind w:left="0" w:right="2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36" w:right="62" w:firstLine="28.000000000000004"/>
              <w:jc w:val="left"/>
              <w:rPr/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Педагогічна діяльність педагогічних працівників закладу освіти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59" w:lineRule="auto"/>
              <w:ind w:left="54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59" w:lineRule="auto"/>
              <w:ind w:left="0" w:right="2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59" w:lineRule="auto"/>
              <w:ind w:left="36" w:firstLine="28.000000000000004"/>
              <w:jc w:val="left"/>
              <w:rPr/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Управлінські процеси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54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Style w:val="Heading1"/>
        <w:spacing w:line="263.00000000000006" w:lineRule="auto"/>
        <w:ind w:left="1760" w:right="1937" w:firstLine="34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spacing w:line="263.00000000000006" w:lineRule="auto"/>
        <w:ind w:left="0" w:right="43" w:firstLine="348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РЕКОМЕНДАЦІЇ </w:t>
      </w:r>
    </w:p>
    <w:p w:rsidR="00000000" w:rsidDel="00000000" w:rsidP="00000000" w:rsidRDefault="00000000" w:rsidRPr="00000000" w14:paraId="0000005A">
      <w:pPr>
        <w:pStyle w:val="Heading1"/>
        <w:spacing w:line="263.00000000000006" w:lineRule="auto"/>
        <w:ind w:left="0" w:right="43" w:firstLine="348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щодо вдосконалення діяльності школи </w:t>
      </w:r>
    </w:p>
    <w:p w:rsidR="00000000" w:rsidDel="00000000" w:rsidP="00000000" w:rsidRDefault="00000000" w:rsidRPr="00000000" w14:paraId="0000005B">
      <w:pPr>
        <w:pStyle w:val="Heading1"/>
        <w:spacing w:line="263.00000000000006" w:lineRule="auto"/>
        <w:ind w:left="0" w:right="43" w:firstLine="348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результатами самооцінювання та спостереження освітнього середовища </w:t>
      </w:r>
    </w:p>
    <w:p w:rsidR="00000000" w:rsidDel="00000000" w:rsidP="00000000" w:rsidRDefault="00000000" w:rsidRPr="00000000" w14:paraId="0000005C">
      <w:pPr>
        <w:spacing w:after="0" w:line="276" w:lineRule="auto"/>
        <w:ind w:left="0" w:right="11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Розробити стратегію розвитку школи із залученням представників педагогічної, учнівської та батьківської громадськості. 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Вживати заходів щодо розбудови внутрішньої системи забезпечення якості освіти, запровадження щорічного самооцінювання освітніх та управлінських процесів.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Дотримуватись санітарних вимог щодо облаштування та утримання приміщень школи (належний повітряно-температурний режим в кабінетах, чистота в навчальних кабінетах, спортивній залі, їдальні, належне утримання туалетних кімнат).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Забезпечити  належне освітлення класних кабінетів, учительської кімнати, коридорів школи, рекреації згідно з санітарними нормами.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Забезпечувати в туалетних кімнатах безперебійну подачу засобів гігієни (туалетний папір, мило). 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 метою створення безпечних і нешкідливих умов навчання та праці і створення нового сучасного освітнього простору провести ремонтні роботи у кабінеті трудового навчання, учительській, коридорі, харчоблоці їдальні школи.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Облаштувати місце для відпочинку для педагогічних працівників. 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Переобладнати та модернізувати шкільний харчоблок їдальні.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Створити персональні робочі місця для педагогічних працівників в учительській.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Створити в кімнаті школяра новий освітній простір у стилі open space для проведення засідань методичних спільнот, зустрічей з членами учнівського самоврядування, робочих зустрічей з партнерами та батьками, вебінарів та конференцій тощо;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Адміністрації школи: 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розробити та обговорити на засіданні педагогічної ради алгоритм дій у разі нещасного випадку; 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проводити навчання та інструктажі з охорони праці, безпеки життєдіяльності, пожежної безпеки, правил поведінки в умовах надзвичайних ситуацій;  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спланувати курси підвищення кваліфікації для педагогічних працівників щодо протидії та попередження булінгу в закладах освіти; надання домедичної допомоги; роботи вчителів з дітьми з особливими освітніми потребами. 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повідомляти правоохоронні органи та службу у справах дітей у випадку виявлення фактів булінгу чи іншого насильства у школі. 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складанні розкладу уроків враховувати санітарно-гігієнічні норми. 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Педагогічним працівникам: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неухильно дотримуватися правил внутрішнього розпорядку, норм педагогічної етики та поваги до гідності й прав здобувачів освіти;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активно формувати в учасників освітнього процесу свідому громадянську позицію;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брати участь у розробці документів, які визначають стратегію розвитку закладу освіти, регламентують роботу освітнього закладу; 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формувати під час освітнього процесу культуру здорового харчування. 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Класним керівникам: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продовжити роботу з попередження булінгу та інших форм насилля, 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занять;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розробити разом з учнями "Кодекс честі в навчанні", "Правила поведінки учнів";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ознайомити учнів з планом заходів із запобігання та протидії булінгу;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приділяти більшу увагу позакласній роботі з учнями, проводити  заходи для  згуртування класного колективу. 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Завідувачам кабінетами підвищеного ризику Михайленку Я.В., Віблій Л.П., Михайленку Я.В., Лагудзі М.О.,  Куземській Т.А., Дзюбак О.Й., оновити правила поведінки в кабінеті під час навчальних занять.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Інженеру-електроніку Шкляруку А.В. встановити на комп'ютерах у кабінетах інформатики програми-фільтри, що унеможливлюють доступ до сайтів небажаного змісту. 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Соціально-психологічній службі школи: 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здійснювати належну системну роботи з адаптації та інтеграції учнів і педагогів до освітнього процесу; 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систематично проводити роботу з виявлення, реагування та запобігання булінгу, іншому насильству шляхом діагностування, індивідуальної роботи, проведенню тренінгових занять;  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продовжувати профілактично-просвітницьку, корекційно-розвивальну роботу з учасниками освітнього процесу;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розробити план та скласти розклад проведення Годин психолога на новий навчальний рік; 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підготувати буклети, пам’ятки на теми: </w:t>
      </w:r>
      <w:hyperlink r:id="rId10">
        <w:r w:rsidDel="00000000" w:rsidR="00000000" w:rsidRPr="00000000">
          <w:rPr>
            <w:sz w:val="24"/>
            <w:szCs w:val="24"/>
            <w:rtl w:val="0"/>
          </w:rPr>
          <w:t xml:space="preserve">"Що робити, якщо ваша дитина – агресор"</w:t>
        </w:r>
      </w:hyperlink>
      <w:r w:rsidDel="00000000" w:rsidR="00000000" w:rsidRPr="00000000">
        <w:rPr>
          <w:sz w:val="24"/>
          <w:szCs w:val="24"/>
          <w:rtl w:val="0"/>
        </w:rPr>
        <w:t xml:space="preserve">, "</w:t>
      </w:r>
      <w:hyperlink r:id="rId11">
        <w:r w:rsidDel="00000000" w:rsidR="00000000" w:rsidRPr="00000000">
          <w:rPr>
            <w:sz w:val="24"/>
            <w:szCs w:val="24"/>
            <w:rtl w:val="0"/>
          </w:rPr>
          <w:t xml:space="preserve">Як батькам і школі запобігти булінгу"</w:t>
        </w:r>
      </w:hyperlink>
      <w:r w:rsidDel="00000000" w:rsidR="00000000" w:rsidRPr="00000000">
        <w:rPr>
          <w:sz w:val="24"/>
          <w:szCs w:val="24"/>
          <w:rtl w:val="0"/>
        </w:rPr>
        <w:t xml:space="preserve">, "</w:t>
      </w:r>
      <w:hyperlink r:id="rId12">
        <w:r w:rsidDel="00000000" w:rsidR="00000000" w:rsidRPr="00000000">
          <w:rPr>
            <w:sz w:val="24"/>
            <w:szCs w:val="24"/>
            <w:rtl w:val="0"/>
          </w:rPr>
          <w:t xml:space="preserve">Як допомогти дитині, яка стала жертвою булінгу", "Як допомогти дитині, яка стала жертвою кібербулінгу"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Бібліотекарю школи Лобур Н.Б: 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здійснювати пошук проєктів та взяти в них участь з метою залучення коштів для осучаснення бібліотеки та створення нового освітнього простору; 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створити у бібліотеці новий освітній простір у стилі open space для проведення зустрічей з цікавими людьми, проведення, Клубу ораторського мистецтва тощо; 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створити бази даних електронних книг відповідно до шкільної програми з української та зарубіжної літератури.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Відповідальному за харчування учнів: </w:t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продовжувати </w:t>
        <w:tab/>
        <w:t xml:space="preserve">впровадження </w:t>
        <w:tab/>
        <w:t xml:space="preserve">проєкту </w:t>
        <w:tab/>
        <w:t xml:space="preserve">Нового </w:t>
        <w:tab/>
        <w:t xml:space="preserve">шкільного </w:t>
      </w:r>
    </w:p>
    <w:p w:rsidR="00000000" w:rsidDel="00000000" w:rsidP="00000000" w:rsidRDefault="00000000" w:rsidRPr="00000000" w14:paraId="00000085">
      <w:pPr>
        <w:spacing w:after="0" w:line="276" w:lineRule="auto"/>
        <w:ind w:left="1561" w:right="17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харчування "Cult Food"; 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after="0" w:line="276" w:lineRule="auto"/>
        <w:ind w:left="1768" w:right="177" w:hanging="9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урізноманітнити асортимент страв примірного чотирьох тижневого меню за рецептурним збірником Є.Клопотенка та покращити якість готової продукції.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Розробити інформаційні стенди "Правила для учнів", "Академічна доброчесність", "Стоп булінг" тощо  та розмістити їх у коридорах школи.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Секретарю-діловоду сформувати базовий пакет нормативних документів школи для ознайомлення з ним усіх педагогічних працівників та надіслати сформований пакет на їхні електронні скриньки. 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холі школи розмістити "Скриньку довіри та побажань".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line="276" w:lineRule="auto"/>
        <w:ind w:left="777" w:right="177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Розмістити звіт за результатами самооцінювання освітнього середовища закладу на сайті школи. </w:t>
      </w:r>
    </w:p>
    <w:p w:rsidR="00000000" w:rsidDel="00000000" w:rsidP="00000000" w:rsidRDefault="00000000" w:rsidRPr="00000000" w14:paraId="0000008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244" w:line="259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tabs>
          <w:tab w:val="center" w:pos="1764"/>
          <w:tab w:val="center" w:pos="3541"/>
          <w:tab w:val="center" w:pos="4250"/>
          <w:tab w:val="center" w:pos="4958"/>
          <w:tab w:val="center" w:pos="5666"/>
          <w:tab w:val="center" w:pos="7154"/>
        </w:tabs>
        <w:spacing w:after="149" w:line="27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Голова комісії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Л.Я.РОСЯК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13" w:line="259" w:lineRule="auto"/>
        <w:ind w:left="852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tabs>
          <w:tab w:val="center" w:pos="1928"/>
          <w:tab w:val="center" w:pos="3541"/>
          <w:tab w:val="center" w:pos="4250"/>
          <w:tab w:val="center" w:pos="4958"/>
          <w:tab w:val="center" w:pos="5666"/>
          <w:tab w:val="center" w:pos="7438"/>
        </w:tabs>
        <w:spacing w:after="153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Директор школи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А.І.ЧЕРНЕЦЬ </w:t>
      </w:r>
    </w:p>
    <w:p w:rsidR="00000000" w:rsidDel="00000000" w:rsidP="00000000" w:rsidRDefault="00000000" w:rsidRPr="00000000" w14:paraId="00000091">
      <w:pPr>
        <w:spacing w:after="158" w:line="259" w:lineRule="auto"/>
        <w:ind w:left="852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16" w:line="259" w:lineRule="auto"/>
        <w:ind w:left="852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16" w:line="259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червня 2021 року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6" w:w="11908" w:orient="portrait"/>
      <w:pgMar w:bottom="925" w:top="856" w:left="1417" w:right="6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1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7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77" w:hanging="77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769" w:hanging="176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572" w:hanging="15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292" w:hanging="22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012" w:hanging="30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732" w:hanging="37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452" w:hanging="44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172" w:hanging="51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892" w:hanging="58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12" w:line="387" w:lineRule="auto"/>
        <w:ind w:left="1078" w:hanging="71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" w:before="0" w:line="270" w:lineRule="auto"/>
      <w:ind w:left="349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0" w:firstLine="0"/>
      <w:jc w:val="center"/>
    </w:pPr>
    <w:rPr>
      <w:b w:val="1"/>
      <w:color w:val="000000"/>
      <w:sz w:val="24"/>
      <w:szCs w:val="24"/>
    </w:rPr>
  </w:style>
  <w:style w:type="paragraph" w:styleId="a" w:default="1">
    <w:name w:val="Normal"/>
    <w:qFormat w:val="1"/>
    <w:pPr>
      <w:spacing w:after="12" w:line="387" w:lineRule="auto"/>
      <w:ind w:left="1078" w:hanging="718"/>
      <w:jc w:val="both"/>
    </w:pPr>
    <w:rPr>
      <w:rFonts w:ascii="Times New Roman" w:cs="Times New Roman" w:eastAsia="Times New Roman" w:hAnsi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 w:val="1"/>
    <w:qFormat w:val="1"/>
    <w:pPr>
      <w:keepNext w:val="1"/>
      <w:keepLines w:val="1"/>
      <w:spacing w:after="16" w:line="270" w:lineRule="auto"/>
      <w:ind w:left="3495" w:hanging="10"/>
      <w:outlineLvl w:val="0"/>
    </w:pPr>
    <w:rPr>
      <w:rFonts w:ascii="Times New Roman" w:cs="Times New Roman" w:eastAsia="Times New Roman" w:hAnsi="Times New Roman"/>
      <w:b w:val="1"/>
      <w:color w:val="000000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Times New Roman" w:cs="Times New Roman" w:eastAsia="Times New Roman" w:hAnsi="Times New Roman"/>
      <w:b w:val="1"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List Paragraph"/>
    <w:basedOn w:val="a"/>
    <w:uiPriority w:val="34"/>
    <w:qFormat w:val="1"/>
    <w:rsid w:val="00DF050B"/>
    <w:pPr>
      <w:ind w:left="720"/>
      <w:contextualSpacing w:val="1"/>
    </w:pPr>
  </w:style>
  <w:style w:type="paragraph" w:styleId="a4">
    <w:name w:val="Title"/>
    <w:basedOn w:val="a"/>
    <w:link w:val="a5"/>
    <w:qFormat w:val="1"/>
    <w:rsid w:val="008203D3"/>
    <w:pPr>
      <w:spacing w:after="0" w:line="240" w:lineRule="auto"/>
      <w:ind w:left="0" w:firstLine="0"/>
      <w:jc w:val="center"/>
    </w:pPr>
    <w:rPr>
      <w:b w:val="1"/>
      <w:color w:val="auto"/>
      <w:sz w:val="24"/>
      <w:szCs w:val="20"/>
      <w:lang w:eastAsia="x-none"/>
    </w:rPr>
  </w:style>
  <w:style w:type="character" w:styleId="a5" w:customStyle="1">
    <w:name w:val="Название Знак"/>
    <w:basedOn w:val="a0"/>
    <w:link w:val="a4"/>
    <w:rsid w:val="008203D3"/>
    <w:rPr>
      <w:rFonts w:ascii="Times New Roman" w:cs="Times New Roman" w:eastAsia="Times New Roman" w:hAnsi="Times New Roman"/>
      <w:b w:val="1"/>
      <w:sz w:val="24"/>
      <w:szCs w:val="20"/>
      <w:lang w:eastAsia="x-none"/>
    </w:rPr>
  </w:style>
  <w:style w:type="paragraph" w:styleId="a6">
    <w:name w:val="Subtitle"/>
    <w:basedOn w:val="a"/>
    <w:link w:val="a7"/>
    <w:qFormat w:val="1"/>
    <w:rsid w:val="008203D3"/>
    <w:pPr>
      <w:spacing w:after="0" w:line="240" w:lineRule="auto"/>
      <w:ind w:left="0" w:firstLine="708"/>
      <w:jc w:val="center"/>
    </w:pPr>
    <w:rPr>
      <w:b w:val="1"/>
      <w:bCs w:val="1"/>
      <w:color w:val="0000ff"/>
      <w:sz w:val="24"/>
      <w:szCs w:val="24"/>
      <w:lang w:eastAsia="x-none"/>
    </w:rPr>
  </w:style>
  <w:style w:type="character" w:styleId="a7" w:customStyle="1">
    <w:name w:val="Подзаголовок Знак"/>
    <w:basedOn w:val="a0"/>
    <w:link w:val="a6"/>
    <w:rsid w:val="008203D3"/>
    <w:rPr>
      <w:rFonts w:ascii="Times New Roman" w:cs="Times New Roman" w:eastAsia="Times New Roman" w:hAnsi="Times New Roman"/>
      <w:b w:val="1"/>
      <w:bCs w:val="1"/>
      <w:color w:val="0000ff"/>
      <w:sz w:val="24"/>
      <w:szCs w:val="24"/>
      <w:lang w:eastAsia="x-none"/>
    </w:rPr>
  </w:style>
  <w:style w:type="paragraph" w:styleId="Subtitle">
    <w:name w:val="Subtitle"/>
    <w:basedOn w:val="Normal"/>
    <w:next w:val="Normal"/>
    <w:pPr>
      <w:spacing w:after="0" w:line="240" w:lineRule="auto"/>
      <w:ind w:left="0" w:firstLine="708"/>
      <w:jc w:val="center"/>
    </w:pPr>
    <w:rPr>
      <w:b w:val="1"/>
      <w:color w:val="0000f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4.0" w:type="dxa"/>
        <w:bottom w:w="0.0" w:type="dxa"/>
        <w:right w:w="4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al4C0YACvYOLp5NaUJNSIBXOvLqdFEye/view?usp=sharing" TargetMode="External"/><Relationship Id="rId10" Type="http://schemas.openxmlformats.org/officeDocument/2006/relationships/hyperlink" Target="https://drive.google.com/file/d/1VCqCeKEAy8MsRAWIpXVxEa0zv5gTjDN3/view?usp=sharing" TargetMode="External"/><Relationship Id="rId12" Type="http://schemas.openxmlformats.org/officeDocument/2006/relationships/hyperlink" Target="https://drive.google.com/file/d/1lVyuC64Jz7llOVdrHJOo41MuLewc3zw6/view?usp=sharing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75O/rHYpeEG9BubDUATVfKoQw==">AMUW2mU2ckeINLm4v7NC3BMiSEoOF+hp8DkhOt4Ql4eGLBr5OG4/28Lp59V+LHQIXZ6R+DcAExIANzrmCMpFqhJmOQ+fh+oppuf4JbfG5TlFd9KdiTYte3IksZKUyEfqn25yqlc4NjAG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2021-10-26T11:36:00Z</dcterms:created>
  <dc:creator>admin</dc:creator>
</cp:coreProperties>
</file>